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X="-275" w:tblpY="1368"/>
        <w:tblW w:w="14305" w:type="dxa"/>
        <w:tblLook w:val="04A0" w:firstRow="1" w:lastRow="0" w:firstColumn="1" w:lastColumn="0" w:noHBand="0" w:noVBand="1"/>
      </w:tblPr>
      <w:tblGrid>
        <w:gridCol w:w="2335"/>
        <w:gridCol w:w="4770"/>
        <w:gridCol w:w="3600"/>
        <w:gridCol w:w="3600"/>
      </w:tblGrid>
      <w:tr w:rsidR="003A5A4A" w14:paraId="5F18090A" w14:textId="77777777" w:rsidTr="003A5A4A">
        <w:tc>
          <w:tcPr>
            <w:tcW w:w="2335" w:type="dxa"/>
          </w:tcPr>
          <w:p w14:paraId="0C65D914" w14:textId="77777777" w:rsidR="003A5A4A" w:rsidRDefault="003A5A4A" w:rsidP="003A5A4A"/>
        </w:tc>
        <w:tc>
          <w:tcPr>
            <w:tcW w:w="4770" w:type="dxa"/>
          </w:tcPr>
          <w:p w14:paraId="3A458DA9" w14:textId="77777777" w:rsidR="003A5A4A" w:rsidRDefault="003A5A4A" w:rsidP="003A5A4A"/>
        </w:tc>
        <w:tc>
          <w:tcPr>
            <w:tcW w:w="3600" w:type="dxa"/>
            <w:vAlign w:val="bottom"/>
          </w:tcPr>
          <w:p w14:paraId="7020146A" w14:textId="7C5E8336" w:rsidR="003A5A4A" w:rsidRDefault="003A5A4A" w:rsidP="003A5A4A">
            <w:pPr>
              <w:jc w:val="center"/>
            </w:pPr>
            <w:r>
              <w:t>Observed Strategies</w:t>
            </w:r>
          </w:p>
        </w:tc>
        <w:tc>
          <w:tcPr>
            <w:tcW w:w="3600" w:type="dxa"/>
            <w:vAlign w:val="bottom"/>
          </w:tcPr>
          <w:p w14:paraId="19BC1255" w14:textId="1F992E31" w:rsidR="003A5A4A" w:rsidRDefault="003A5A4A" w:rsidP="003A5A4A">
            <w:pPr>
              <w:jc w:val="center"/>
            </w:pPr>
            <w:r>
              <w:t>Suggested Approaches</w:t>
            </w:r>
          </w:p>
        </w:tc>
      </w:tr>
      <w:tr w:rsidR="003A5A4A" w14:paraId="4127DF11" w14:textId="77777777" w:rsidTr="003A5A4A">
        <w:tc>
          <w:tcPr>
            <w:tcW w:w="2335" w:type="dxa"/>
          </w:tcPr>
          <w:p w14:paraId="7EAFC46D" w14:textId="3DEDBF91" w:rsidR="003A5A4A" w:rsidRDefault="003A5A4A" w:rsidP="003A5A4A">
            <w:r>
              <w:t>Effective Design</w:t>
            </w:r>
          </w:p>
        </w:tc>
        <w:tc>
          <w:tcPr>
            <w:tcW w:w="4770" w:type="dxa"/>
          </w:tcPr>
          <w:p w14:paraId="303F7CF3" w14:textId="1F6A1D52" w:rsidR="003A5A4A" w:rsidRDefault="003A5A4A" w:rsidP="003A5A4A">
            <w:r>
              <w:t>Student characteristics are considered in design.</w:t>
            </w:r>
          </w:p>
          <w:p w14:paraId="456109DD" w14:textId="40D0E8A1" w:rsidR="003A5A4A" w:rsidRDefault="003A5A4A" w:rsidP="003A5A4A">
            <w:r>
              <w:t>Learning objectives are clear and measurable and supported by student centered learning tasks.</w:t>
            </w:r>
          </w:p>
          <w:p w14:paraId="380F9783" w14:textId="65DA7782" w:rsidR="003A5A4A" w:rsidRDefault="003A5A4A" w:rsidP="003A5A4A">
            <w:r>
              <w:t xml:space="preserve">Course materials are readily available and organized. </w:t>
            </w:r>
          </w:p>
        </w:tc>
        <w:tc>
          <w:tcPr>
            <w:tcW w:w="3600" w:type="dxa"/>
          </w:tcPr>
          <w:p w14:paraId="7812898F" w14:textId="77777777" w:rsidR="003A5A4A" w:rsidRDefault="003A5A4A" w:rsidP="003A5A4A"/>
        </w:tc>
        <w:tc>
          <w:tcPr>
            <w:tcW w:w="3600" w:type="dxa"/>
          </w:tcPr>
          <w:p w14:paraId="7A343D7D" w14:textId="77777777" w:rsidR="003A5A4A" w:rsidRDefault="003A5A4A" w:rsidP="003A5A4A"/>
        </w:tc>
      </w:tr>
      <w:tr w:rsidR="003A5A4A" w14:paraId="086FA30F" w14:textId="77777777" w:rsidTr="003A5A4A">
        <w:tc>
          <w:tcPr>
            <w:tcW w:w="2335" w:type="dxa"/>
          </w:tcPr>
          <w:p w14:paraId="31A5765A" w14:textId="7FFA1411" w:rsidR="003A5A4A" w:rsidRDefault="003A5A4A" w:rsidP="003A5A4A">
            <w:r>
              <w:t>Effective Instruction</w:t>
            </w:r>
          </w:p>
        </w:tc>
        <w:tc>
          <w:tcPr>
            <w:tcW w:w="4770" w:type="dxa"/>
          </w:tcPr>
          <w:p w14:paraId="51446345" w14:textId="55113014" w:rsidR="003A5A4A" w:rsidRDefault="003A5A4A" w:rsidP="003A5A4A">
            <w:r>
              <w:t xml:space="preserve">Provides a clear structure for students and supports learning. </w:t>
            </w:r>
          </w:p>
          <w:p w14:paraId="33BA391B" w14:textId="465CFB54" w:rsidR="003A5A4A" w:rsidRDefault="003A5A4A" w:rsidP="003A5A4A">
            <w:r>
              <w:t>Content, instructions and expectations are communicated clearly.</w:t>
            </w:r>
          </w:p>
        </w:tc>
        <w:tc>
          <w:tcPr>
            <w:tcW w:w="3600" w:type="dxa"/>
          </w:tcPr>
          <w:p w14:paraId="11CF2CC6" w14:textId="77777777" w:rsidR="003A5A4A" w:rsidRDefault="003A5A4A" w:rsidP="003A5A4A"/>
        </w:tc>
        <w:tc>
          <w:tcPr>
            <w:tcW w:w="3600" w:type="dxa"/>
          </w:tcPr>
          <w:p w14:paraId="53F566A5" w14:textId="77777777" w:rsidR="003A5A4A" w:rsidRDefault="003A5A4A" w:rsidP="003A5A4A"/>
        </w:tc>
      </w:tr>
      <w:tr w:rsidR="003A5A4A" w14:paraId="4B751767" w14:textId="77777777" w:rsidTr="003A5A4A">
        <w:tc>
          <w:tcPr>
            <w:tcW w:w="2335" w:type="dxa"/>
          </w:tcPr>
          <w:p w14:paraId="3DCF2521" w14:textId="147CD358" w:rsidR="003A5A4A" w:rsidRDefault="003A5A4A" w:rsidP="003A5A4A">
            <w:r>
              <w:t>Inclusive and Ethical Pedagogy</w:t>
            </w:r>
          </w:p>
        </w:tc>
        <w:tc>
          <w:tcPr>
            <w:tcW w:w="4770" w:type="dxa"/>
          </w:tcPr>
          <w:p w14:paraId="4ED0430C" w14:textId="634F80C1" w:rsidR="003A5A4A" w:rsidRDefault="003A5A4A" w:rsidP="003A5A4A">
            <w:r>
              <w:t xml:space="preserve">Demonstrates explicit inclusion of all learners, including accessibility and the removal of barriers to learning. Cultivates a sense of community within in the classroom. </w:t>
            </w:r>
            <w:r w:rsidRPr="003846A6">
              <w:rPr>
                <w:rFonts w:cstheme="minorHAnsi"/>
              </w:rPr>
              <w:t xml:space="preserve"> </w:t>
            </w:r>
            <w:r>
              <w:rPr>
                <w:rFonts w:cstheme="minorHAnsi"/>
              </w:rPr>
              <w:t>Demonstrates i</w:t>
            </w:r>
            <w:r w:rsidRPr="003846A6">
              <w:rPr>
                <w:rFonts w:cstheme="minorHAnsi"/>
              </w:rPr>
              <w:t>ntegrity and respect for all students is demonstrated</w:t>
            </w:r>
            <w:r>
              <w:t xml:space="preserve">  </w:t>
            </w:r>
          </w:p>
        </w:tc>
        <w:tc>
          <w:tcPr>
            <w:tcW w:w="3600" w:type="dxa"/>
          </w:tcPr>
          <w:p w14:paraId="3B3D2841" w14:textId="77777777" w:rsidR="003A5A4A" w:rsidRDefault="003A5A4A" w:rsidP="003A5A4A"/>
        </w:tc>
        <w:tc>
          <w:tcPr>
            <w:tcW w:w="3600" w:type="dxa"/>
          </w:tcPr>
          <w:p w14:paraId="343E0C92" w14:textId="77777777" w:rsidR="003A5A4A" w:rsidRDefault="003A5A4A" w:rsidP="003A5A4A"/>
        </w:tc>
      </w:tr>
      <w:tr w:rsidR="003A5A4A" w14:paraId="3B072183" w14:textId="77777777" w:rsidTr="003A5A4A">
        <w:tc>
          <w:tcPr>
            <w:tcW w:w="2335" w:type="dxa"/>
          </w:tcPr>
          <w:p w14:paraId="660FA681" w14:textId="3C09AA11" w:rsidR="003A5A4A" w:rsidRDefault="003A5A4A" w:rsidP="003A5A4A">
            <w:r>
              <w:t>Reflective and Evolving Practice</w:t>
            </w:r>
          </w:p>
        </w:tc>
        <w:tc>
          <w:tcPr>
            <w:tcW w:w="4770" w:type="dxa"/>
          </w:tcPr>
          <w:p w14:paraId="40357311" w14:textId="69A5B41A" w:rsidR="003A5A4A" w:rsidRPr="00375CCD" w:rsidRDefault="003A5A4A" w:rsidP="003A5A4A">
            <w:pPr>
              <w:rPr>
                <w:rFonts w:cstheme="minorHAnsi"/>
              </w:rPr>
            </w:pPr>
            <w:r>
              <w:rPr>
                <w:rFonts w:cstheme="minorHAnsi"/>
              </w:rPr>
              <w:t>Engages in r</w:t>
            </w:r>
            <w:r w:rsidRPr="00375CCD">
              <w:rPr>
                <w:rFonts w:cstheme="minorHAnsi"/>
              </w:rPr>
              <w:t>eflective practice and an understanding of research-informed pedagogical techniques guide modifications to course design and instruction. The evolution of instructional practices is informed by feedback from students and enhanced through our interaction with peers and professional development opportunities.</w:t>
            </w:r>
          </w:p>
          <w:p w14:paraId="017385C6" w14:textId="29D08971" w:rsidR="003A5A4A" w:rsidRDefault="003A5A4A" w:rsidP="003A5A4A"/>
        </w:tc>
        <w:tc>
          <w:tcPr>
            <w:tcW w:w="3600" w:type="dxa"/>
          </w:tcPr>
          <w:p w14:paraId="6A2666F9" w14:textId="77777777" w:rsidR="003A5A4A" w:rsidRDefault="003A5A4A" w:rsidP="003A5A4A"/>
        </w:tc>
        <w:tc>
          <w:tcPr>
            <w:tcW w:w="3600" w:type="dxa"/>
          </w:tcPr>
          <w:p w14:paraId="5E493F1D" w14:textId="77777777" w:rsidR="003A5A4A" w:rsidRDefault="003A5A4A" w:rsidP="003A5A4A"/>
        </w:tc>
      </w:tr>
    </w:tbl>
    <w:p w14:paraId="4887FDFE" w14:textId="2F027FC1" w:rsidR="00032821" w:rsidRPr="00413A9D" w:rsidRDefault="00413A9D" w:rsidP="00413A9D">
      <w:pPr>
        <w:jc w:val="center"/>
        <w:rPr>
          <w:b/>
          <w:bCs/>
        </w:rPr>
      </w:pPr>
      <w:r w:rsidRPr="00413A9D">
        <w:rPr>
          <w:b/>
          <w:bCs/>
        </w:rPr>
        <w:t>Elements of Effective Teaching</w:t>
      </w:r>
      <w:r w:rsidR="00742A3E">
        <w:rPr>
          <w:b/>
          <w:bCs/>
        </w:rPr>
        <w:t>*</w:t>
      </w:r>
      <w:r w:rsidRPr="00413A9D">
        <w:rPr>
          <w:b/>
          <w:bCs/>
        </w:rPr>
        <w:t xml:space="preserve"> Form</w:t>
      </w:r>
    </w:p>
    <w:sectPr w:rsidR="00032821" w:rsidRPr="00413A9D" w:rsidSect="00742A3E">
      <w:headerReference w:type="even" r:id="rId7"/>
      <w:headerReference w:type="default" r:id="rId8"/>
      <w:footerReference w:type="even" r:id="rId9"/>
      <w:footerReference w:type="default" r:id="rId10"/>
      <w:headerReference w:type="first" r:id="rId11"/>
      <w:footerReference w:type="first" r:id="rId12"/>
      <w:pgSz w:w="15840" w:h="12240" w:orient="landscape"/>
      <w:pgMar w:top="1008" w:right="1728" w:bottom="1008" w:left="1152"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5A614" w14:textId="77777777" w:rsidR="00B9731C" w:rsidRDefault="00B9731C" w:rsidP="001E1D41">
      <w:pPr>
        <w:spacing w:after="0" w:line="240" w:lineRule="auto"/>
      </w:pPr>
      <w:r>
        <w:separator/>
      </w:r>
    </w:p>
  </w:endnote>
  <w:endnote w:type="continuationSeparator" w:id="0">
    <w:p w14:paraId="6FC0AA75" w14:textId="77777777" w:rsidR="00B9731C" w:rsidRDefault="00B9731C" w:rsidP="001E1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42D69" w14:textId="77777777" w:rsidR="009A602D" w:rsidRDefault="009A60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C12DD" w14:textId="731B4D59" w:rsidR="00742A3E" w:rsidRPr="00D16517" w:rsidRDefault="00742A3E" w:rsidP="00742A3E">
    <w:pPr>
      <w:pStyle w:val="Footer"/>
      <w:rPr>
        <w:rStyle w:val="Hyperlink"/>
        <w:rFonts w:cstheme="minorHAnsi"/>
      </w:rPr>
    </w:pPr>
    <w:r w:rsidRPr="00742A3E">
      <w:rPr>
        <w:rFonts w:cstheme="minorHAnsi"/>
      </w:rPr>
      <w:t>*</w:t>
    </w:r>
    <w:r>
      <w:rPr>
        <w:rFonts w:cstheme="minorHAnsi"/>
      </w:rPr>
      <w:t xml:space="preserve"> See Penn State’s </w:t>
    </w:r>
    <w:r w:rsidR="00D16517">
      <w:rPr>
        <w:rFonts w:cstheme="minorHAnsi"/>
      </w:rPr>
      <w:fldChar w:fldCharType="begin"/>
    </w:r>
    <w:r w:rsidR="00D16517">
      <w:rPr>
        <w:rFonts w:cstheme="minorHAnsi"/>
      </w:rPr>
      <w:instrText xml:space="preserve"> HYPERLINK "https://pennstateoffice365.sharepoint.com/sites/SenateCommunications/Website%20Content/Forms/AllItems.aspx?id=%2Fsites%2FSenateCommunications%2FWebsite%20Content%2FMeeting%20Files%2FPlenary%2F2022%2D2023%2FMarch%2028%2C%202023%2F032823%20Appendices%2F032823%20Appendix%20N%2Epdf&amp;parent=%2Fsites%2FSenateCommunications%2FWebsite%20Content%2FMeeting%20Files%2FPlenary%2F2022%2D2023%2FMarch%2028%2C%202023%2F032823%20Appendices" </w:instrText>
    </w:r>
    <w:r w:rsidR="00D16517">
      <w:rPr>
        <w:rFonts w:cstheme="minorHAnsi"/>
      </w:rPr>
    </w:r>
    <w:r w:rsidR="00D16517">
      <w:rPr>
        <w:rFonts w:cstheme="minorHAnsi"/>
      </w:rPr>
      <w:fldChar w:fldCharType="separate"/>
    </w:r>
    <w:r w:rsidRPr="00D16517">
      <w:rPr>
        <w:rStyle w:val="Hyperlink"/>
        <w:rFonts w:cstheme="minorHAnsi"/>
      </w:rPr>
      <w:t xml:space="preserve">Elements of Effective Teaching </w:t>
    </w:r>
  </w:p>
  <w:p w14:paraId="08EEF28B" w14:textId="3DB7079D" w:rsidR="0030001C" w:rsidRPr="0041372C" w:rsidRDefault="00D16517" w:rsidP="0030001C">
    <w:pPr>
      <w:pStyle w:val="Footer"/>
      <w:jc w:val="center"/>
      <w:rPr>
        <w:rFonts w:cstheme="minorHAnsi"/>
      </w:rPr>
    </w:pPr>
    <w:r>
      <w:rPr>
        <w:rFonts w:cstheme="minorHAnsi"/>
      </w:rPr>
      <w:fldChar w:fldCharType="end"/>
    </w:r>
    <w:r w:rsidR="0030001C" w:rsidRPr="0041372C">
      <w:rPr>
        <w:rFonts w:cstheme="minorHAnsi"/>
      </w:rPr>
      <w:t>Schreyer Institute for Teaching Excellence, Penn State.</w:t>
    </w:r>
  </w:p>
  <w:p w14:paraId="51DB64A2" w14:textId="77777777" w:rsidR="0030001C" w:rsidRDefault="00B9731C" w:rsidP="0030001C">
    <w:pPr>
      <w:pStyle w:val="Footer"/>
      <w:spacing w:line="276" w:lineRule="auto"/>
      <w:jc w:val="center"/>
      <w:rPr>
        <w:rStyle w:val="Hyperlink"/>
        <w:rFonts w:cstheme="minorHAnsi"/>
      </w:rPr>
    </w:pPr>
    <w:hyperlink r:id="rId1" w:history="1">
      <w:r w:rsidR="0030001C" w:rsidRPr="0041372C">
        <w:rPr>
          <w:rStyle w:val="Hyperlink"/>
          <w:rFonts w:cstheme="minorHAnsi"/>
        </w:rPr>
        <w:t>schreyerinstitute.psu.edu</w:t>
      </w:r>
    </w:hyperlink>
  </w:p>
  <w:p w14:paraId="68B08626" w14:textId="27009975" w:rsidR="0030001C" w:rsidRPr="00181AE9" w:rsidRDefault="0030001C" w:rsidP="0030001C">
    <w:pPr>
      <w:pStyle w:val="Footer"/>
      <w:jc w:val="center"/>
      <w:rPr>
        <w:rFonts w:cstheme="minorHAnsi"/>
      </w:rPr>
    </w:pPr>
  </w:p>
  <w:p w14:paraId="4C3E8231" w14:textId="77777777" w:rsidR="0030001C" w:rsidRDefault="0030001C" w:rsidP="0030001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4DB7F" w14:textId="77777777" w:rsidR="009A602D" w:rsidRDefault="009A60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7C56B" w14:textId="77777777" w:rsidR="00B9731C" w:rsidRDefault="00B9731C" w:rsidP="001E1D41">
      <w:pPr>
        <w:spacing w:after="0" w:line="240" w:lineRule="auto"/>
      </w:pPr>
      <w:r>
        <w:separator/>
      </w:r>
    </w:p>
  </w:footnote>
  <w:footnote w:type="continuationSeparator" w:id="0">
    <w:p w14:paraId="10900F88" w14:textId="77777777" w:rsidR="00B9731C" w:rsidRDefault="00B9731C" w:rsidP="001E1D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F5E74" w14:textId="77777777" w:rsidR="009A602D" w:rsidRDefault="009A60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E1F59" w14:textId="7FA74882" w:rsidR="001E1D41" w:rsidRDefault="001E1D41" w:rsidP="001E1D4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B7B13" w14:textId="77777777" w:rsidR="009A602D" w:rsidRDefault="009A60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932460"/>
    <w:multiLevelType w:val="hybridMultilevel"/>
    <w:tmpl w:val="2982EE78"/>
    <w:lvl w:ilvl="0" w:tplc="C33A064E">
      <w:numFmt w:val="bullet"/>
      <w:lvlText w:val=""/>
      <w:lvlJc w:val="left"/>
      <w:pPr>
        <w:ind w:left="1080" w:hanging="360"/>
      </w:pPr>
      <w:rPr>
        <w:rFonts w:ascii="Symbol" w:eastAsiaTheme="minorHAns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F205175"/>
    <w:multiLevelType w:val="hybridMultilevel"/>
    <w:tmpl w:val="47BC8344"/>
    <w:lvl w:ilvl="0" w:tplc="FFC4AEEC">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85A"/>
    <w:rsid w:val="00011104"/>
    <w:rsid w:val="00032821"/>
    <w:rsid w:val="001E1D41"/>
    <w:rsid w:val="0030001C"/>
    <w:rsid w:val="003A5A4A"/>
    <w:rsid w:val="00413A9D"/>
    <w:rsid w:val="00525970"/>
    <w:rsid w:val="0057303F"/>
    <w:rsid w:val="00726E2C"/>
    <w:rsid w:val="00742A3E"/>
    <w:rsid w:val="00931EE4"/>
    <w:rsid w:val="009A602D"/>
    <w:rsid w:val="00B84D97"/>
    <w:rsid w:val="00B9731C"/>
    <w:rsid w:val="00C4685A"/>
    <w:rsid w:val="00D16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D3F1A"/>
  <w15:chartTrackingRefBased/>
  <w15:docId w15:val="{E700C6CA-194B-4856-B9E0-47AF155C6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6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1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D41"/>
  </w:style>
  <w:style w:type="paragraph" w:styleId="Footer">
    <w:name w:val="footer"/>
    <w:basedOn w:val="Normal"/>
    <w:link w:val="FooterChar"/>
    <w:uiPriority w:val="99"/>
    <w:unhideWhenUsed/>
    <w:rsid w:val="001E1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D41"/>
  </w:style>
  <w:style w:type="character" w:styleId="Hyperlink">
    <w:name w:val="Hyperlink"/>
    <w:uiPriority w:val="99"/>
    <w:unhideWhenUsed/>
    <w:rsid w:val="0030001C"/>
    <w:rPr>
      <w:color w:val="0000FF"/>
      <w:u w:val="single"/>
    </w:rPr>
  </w:style>
  <w:style w:type="character" w:styleId="UnresolvedMention">
    <w:name w:val="Unresolved Mention"/>
    <w:basedOn w:val="DefaultParagraphFont"/>
    <w:uiPriority w:val="99"/>
    <w:semiHidden/>
    <w:unhideWhenUsed/>
    <w:rsid w:val="009A602D"/>
    <w:rPr>
      <w:color w:val="605E5C"/>
      <w:shd w:val="clear" w:color="auto" w:fill="E1DFDD"/>
    </w:rPr>
  </w:style>
  <w:style w:type="character" w:styleId="FollowedHyperlink">
    <w:name w:val="FollowedHyperlink"/>
    <w:basedOn w:val="DefaultParagraphFont"/>
    <w:uiPriority w:val="99"/>
    <w:semiHidden/>
    <w:unhideWhenUsed/>
    <w:rsid w:val="00D165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schreyerinstitute.p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162</Words>
  <Characters>927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Decker Raynak, Cindy</dc:creator>
  <cp:keywords/>
  <dc:description/>
  <cp:lastModifiedBy>Decker Raynak, Cindy</cp:lastModifiedBy>
  <cp:revision>4</cp:revision>
  <dcterms:created xsi:type="dcterms:W3CDTF">2023-09-15T14:26:00Z</dcterms:created>
  <dcterms:modified xsi:type="dcterms:W3CDTF">2023-09-15T19:06:00Z</dcterms:modified>
</cp:coreProperties>
</file>