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63" w:rsidRPr="008648BE" w:rsidRDefault="00B521DB" w:rsidP="00A240D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sz w:val="20"/>
          <w:szCs w:val="19"/>
        </w:rPr>
      </w:pPr>
      <w:r w:rsidRPr="008648BE">
        <w:rPr>
          <w:rFonts w:ascii="Century Gothic" w:hAnsi="Century Gothic" w:cs="Times New Roman"/>
          <w:b/>
          <w:sz w:val="20"/>
          <w:szCs w:val="19"/>
        </w:rPr>
        <w:t>Creating Inclusive Courses</w:t>
      </w:r>
    </w:p>
    <w:p w:rsidR="003B0C63" w:rsidRPr="008648BE" w:rsidRDefault="003B0C63" w:rsidP="00A240D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sz w:val="20"/>
          <w:szCs w:val="19"/>
        </w:rPr>
      </w:pPr>
      <w:r w:rsidRPr="008648BE">
        <w:rPr>
          <w:rFonts w:ascii="Century Gothic" w:hAnsi="Century Gothic" w:cs="Times New Roman"/>
          <w:b/>
          <w:sz w:val="20"/>
          <w:szCs w:val="19"/>
        </w:rPr>
        <w:t>References</w:t>
      </w:r>
    </w:p>
    <w:p w:rsidR="00811725" w:rsidRDefault="00811725" w:rsidP="008648B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19"/>
          <w:szCs w:val="19"/>
        </w:rPr>
      </w:pPr>
    </w:p>
    <w:p w:rsidR="009846B5" w:rsidRPr="00A240D9" w:rsidRDefault="009846B5" w:rsidP="008648B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sz w:val="19"/>
          <w:szCs w:val="19"/>
        </w:rPr>
      </w:pPr>
      <w:bookmarkStart w:id="0" w:name="_GoBack"/>
      <w:bookmarkEnd w:id="0"/>
    </w:p>
    <w:p w:rsidR="00425632" w:rsidRPr="008648BE" w:rsidRDefault="00855775" w:rsidP="00425632">
      <w:pPr>
        <w:pStyle w:val="Heading1"/>
        <w:shd w:val="clear" w:color="auto" w:fill="FFFFFF"/>
        <w:spacing w:before="0" w:beforeAutospacing="0" w:after="140" w:afterAutospacing="0"/>
        <w:ind w:left="547" w:hanging="547"/>
        <w:textAlignment w:val="baseline"/>
        <w:rPr>
          <w:rFonts w:ascii="Century Gothic" w:hAnsi="Century Gothic"/>
          <w:b w:val="0"/>
          <w:sz w:val="20"/>
          <w:szCs w:val="20"/>
        </w:rPr>
      </w:pPr>
      <w:r w:rsidRPr="008648BE">
        <w:rPr>
          <w:rFonts w:ascii="Century Gothic" w:hAnsi="Century Gothic"/>
          <w:b w:val="0"/>
          <w:sz w:val="20"/>
          <w:szCs w:val="20"/>
        </w:rPr>
        <w:t>Aronson, J. (1999).</w:t>
      </w:r>
      <w:r w:rsidRPr="008648BE">
        <w:rPr>
          <w:rFonts w:ascii="Century Gothic" w:hAnsi="Century Gothic"/>
          <w:sz w:val="20"/>
          <w:szCs w:val="20"/>
        </w:rPr>
        <w:t xml:space="preserve"> 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When White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m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en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c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an't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d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o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m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ath: Necessary and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s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ufficient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f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actors in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s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 xml:space="preserve">tereotype 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t</w:t>
      </w:r>
      <w:r w:rsidRPr="008648BE">
        <w:rPr>
          <w:rFonts w:ascii="Century Gothic" w:eastAsiaTheme="minorHAnsi" w:hAnsi="Century Gothic" w:hint="eastAsia"/>
          <w:b w:val="0"/>
          <w:bCs w:val="0"/>
          <w:kern w:val="0"/>
          <w:sz w:val="20"/>
          <w:szCs w:val="20"/>
        </w:rPr>
        <w:t>hreat</w:t>
      </w:r>
      <w:r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>.</w:t>
      </w:r>
      <w:r w:rsidR="00425632" w:rsidRPr="008648BE">
        <w:rPr>
          <w:rFonts w:ascii="Century Gothic" w:eastAsiaTheme="minorHAnsi" w:hAnsi="Century Gothic"/>
          <w:b w:val="0"/>
          <w:bCs w:val="0"/>
          <w:kern w:val="0"/>
          <w:sz w:val="20"/>
          <w:szCs w:val="20"/>
        </w:rPr>
        <w:t xml:space="preserve"> </w:t>
      </w:r>
      <w:r w:rsidRPr="008648BE">
        <w:rPr>
          <w:rFonts w:ascii="Century Gothic" w:hAnsi="Century Gothic"/>
          <w:b w:val="0"/>
          <w:i/>
          <w:sz w:val="20"/>
          <w:szCs w:val="20"/>
        </w:rPr>
        <w:t>Journal of Experimental Social Psychology, 35 (1),</w:t>
      </w:r>
      <w:r w:rsidRPr="008648BE">
        <w:rPr>
          <w:rFonts w:ascii="Century Gothic" w:hAnsi="Century Gothic"/>
          <w:b w:val="0"/>
          <w:sz w:val="20"/>
          <w:szCs w:val="20"/>
        </w:rPr>
        <w:t xml:space="preserve"> 29-46.</w:t>
      </w:r>
    </w:p>
    <w:p w:rsidR="00C24124" w:rsidRPr="008648BE" w:rsidRDefault="00C24124" w:rsidP="00425632">
      <w:pPr>
        <w:pStyle w:val="Heading1"/>
        <w:shd w:val="clear" w:color="auto" w:fill="FFFFFF"/>
        <w:spacing w:before="0" w:beforeAutospacing="0" w:after="140" w:afterAutospacing="0"/>
        <w:ind w:left="547" w:hanging="547"/>
        <w:textAlignment w:val="baseline"/>
        <w:rPr>
          <w:rFonts w:ascii="Century Gothic" w:hAnsi="Century Gothic"/>
          <w:b w:val="0"/>
          <w:sz w:val="20"/>
          <w:szCs w:val="20"/>
        </w:rPr>
      </w:pPr>
      <w:proofErr w:type="gramStart"/>
      <w:r w:rsidRPr="008648BE">
        <w:rPr>
          <w:rFonts w:ascii="Century Gothic" w:hAnsi="Century Gothic"/>
          <w:b w:val="0"/>
          <w:sz w:val="20"/>
          <w:szCs w:val="20"/>
        </w:rPr>
        <w:t>Aronson, J.</w:t>
      </w:r>
      <w:r w:rsidR="005E43DB" w:rsidRPr="008648BE">
        <w:rPr>
          <w:rFonts w:ascii="Century Gothic" w:hAnsi="Century Gothic"/>
          <w:b w:val="0"/>
          <w:sz w:val="20"/>
          <w:szCs w:val="20"/>
        </w:rPr>
        <w:t>,</w:t>
      </w:r>
      <w:r w:rsidRPr="008648BE">
        <w:rPr>
          <w:rFonts w:ascii="Century Gothic" w:hAnsi="Century Gothic"/>
          <w:b w:val="0"/>
          <w:sz w:val="20"/>
          <w:szCs w:val="20"/>
        </w:rPr>
        <w:t xml:space="preserve"> Fried, C., &amp; Good, K. (2002).</w:t>
      </w:r>
      <w:proofErr w:type="gramEnd"/>
      <w:r w:rsidRPr="008648BE">
        <w:rPr>
          <w:rFonts w:ascii="Century Gothic" w:hAnsi="Century Gothic"/>
          <w:b w:val="0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/>
          <w:b w:val="0"/>
          <w:sz w:val="20"/>
          <w:szCs w:val="20"/>
        </w:rPr>
        <w:t>Reducing the effects of stereotype threat on African American college students by shaping theories of intelligence.</w:t>
      </w:r>
      <w:proofErr w:type="gramEnd"/>
      <w:r w:rsidRPr="008648BE">
        <w:rPr>
          <w:rFonts w:ascii="Century Gothic" w:hAnsi="Century Gothic"/>
          <w:b w:val="0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/>
          <w:b w:val="0"/>
          <w:i/>
          <w:sz w:val="20"/>
          <w:szCs w:val="20"/>
        </w:rPr>
        <w:t>Journal of Experimental Social Psychology</w:t>
      </w:r>
      <w:r w:rsidRPr="008648BE">
        <w:rPr>
          <w:rFonts w:ascii="Century Gothic" w:hAnsi="Century Gothic"/>
          <w:b w:val="0"/>
          <w:sz w:val="20"/>
          <w:szCs w:val="20"/>
        </w:rPr>
        <w:t>.</w:t>
      </w:r>
      <w:proofErr w:type="gramEnd"/>
      <w:r w:rsidRPr="008648BE">
        <w:rPr>
          <w:rFonts w:ascii="Century Gothic" w:hAnsi="Century Gothic"/>
          <w:b w:val="0"/>
          <w:sz w:val="20"/>
          <w:szCs w:val="20"/>
        </w:rPr>
        <w:t xml:space="preserve"> 38, 113 – 125. </w:t>
      </w:r>
    </w:p>
    <w:p w:rsidR="00B767C3" w:rsidRPr="008648BE" w:rsidRDefault="00B767C3" w:rsidP="00425632">
      <w:pPr>
        <w:spacing w:after="140" w:line="240" w:lineRule="auto"/>
        <w:ind w:left="540" w:hanging="540"/>
        <w:rPr>
          <w:rFonts w:ascii="Century Gothic" w:hAnsi="Century Gothic" w:cs="Times New Roman"/>
          <w:sz w:val="20"/>
          <w:szCs w:val="20"/>
        </w:rPr>
      </w:pPr>
      <w:proofErr w:type="gramStart"/>
      <w:r w:rsidRPr="008648BE">
        <w:rPr>
          <w:rFonts w:ascii="Century Gothic" w:hAnsi="Century Gothic" w:cs="Times New Roman"/>
          <w:sz w:val="20"/>
          <w:szCs w:val="20"/>
        </w:rPr>
        <w:t>Chatman, S. (2008).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Does diversity matter in the education process?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An exploration of student interactions by wealth, religion, politics, race, ethnicity and immigrant status at the University of California.</w:t>
      </w:r>
      <w:proofErr w:type="gramEnd"/>
      <w:r w:rsidR="00BD13BC" w:rsidRPr="008648BE">
        <w:rPr>
          <w:rFonts w:ascii="Century Gothic" w:hAnsi="Century Gothic" w:cs="Times New Roman"/>
          <w:sz w:val="20"/>
          <w:szCs w:val="20"/>
        </w:rPr>
        <w:t xml:space="preserve"> </w:t>
      </w:r>
      <w:r w:rsidR="00BD13BC" w:rsidRPr="008648BE">
        <w:rPr>
          <w:rFonts w:ascii="Century Gothic" w:hAnsi="Century Gothic" w:cs="Times New Roman"/>
          <w:i/>
          <w:sz w:val="20"/>
          <w:szCs w:val="20"/>
        </w:rPr>
        <w:t>Center for Studies in Higher Education</w:t>
      </w:r>
      <w:r w:rsidR="00BD13BC" w:rsidRPr="008648BE">
        <w:rPr>
          <w:rFonts w:ascii="Century Gothic" w:hAnsi="Century Gothic" w:cs="Times New Roman"/>
          <w:sz w:val="20"/>
          <w:szCs w:val="20"/>
        </w:rPr>
        <w:t xml:space="preserve">, University of California Berkeley </w:t>
      </w:r>
      <w:hyperlink r:id="rId9" w:history="1">
        <w:r w:rsidR="00425632" w:rsidRPr="009D6E27">
          <w:rPr>
            <w:rStyle w:val="Hyperlink"/>
            <w:rFonts w:ascii="Century Gothic" w:hAnsi="Century Gothic" w:cs="Times New Roman"/>
            <w:i/>
            <w:sz w:val="19"/>
            <w:szCs w:val="19"/>
          </w:rPr>
          <w:t>http://www.cshe.berkeley.edu/sites/default/files/shared/publications/docs/ROPS.Chatman.Exploring.3.5.08.pdf</w:t>
        </w:r>
      </w:hyperlink>
      <w:r w:rsidR="00425632" w:rsidRPr="009D6E27">
        <w:rPr>
          <w:rFonts w:ascii="Century Gothic" w:hAnsi="Century Gothic" w:cs="Times New Roman"/>
          <w:i/>
          <w:sz w:val="19"/>
          <w:szCs w:val="19"/>
        </w:rPr>
        <w:t xml:space="preserve"> </w:t>
      </w:r>
    </w:p>
    <w:p w:rsidR="000969D4" w:rsidRPr="008648BE" w:rsidRDefault="009D1A70" w:rsidP="00A240D9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proofErr w:type="spellStart"/>
      <w:proofErr w:type="gramStart"/>
      <w:r w:rsidRPr="008648BE">
        <w:rPr>
          <w:rFonts w:ascii="Century Gothic" w:hAnsi="Century Gothic" w:cs="Times New Roman"/>
          <w:sz w:val="20"/>
          <w:szCs w:val="20"/>
        </w:rPr>
        <w:t>Gardenswartz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>, L. &amp; Rowe, A.</w:t>
      </w:r>
      <w:r w:rsidR="000969D4" w:rsidRPr="008648BE">
        <w:rPr>
          <w:rFonts w:ascii="Century Gothic" w:hAnsi="Century Gothic" w:cs="Times New Roman"/>
          <w:sz w:val="20"/>
          <w:szCs w:val="20"/>
        </w:rPr>
        <w:t xml:space="preserve"> (2010).</w:t>
      </w:r>
      <w:proofErr w:type="gramEnd"/>
      <w:r w:rsidR="000969D4" w:rsidRPr="008648BE">
        <w:rPr>
          <w:rFonts w:ascii="Century Gothic" w:hAnsi="Century Gothic" w:cs="Times New Roman"/>
          <w:sz w:val="20"/>
          <w:szCs w:val="20"/>
        </w:rPr>
        <w:t xml:space="preserve"> </w:t>
      </w:r>
      <w:r w:rsidR="000969D4" w:rsidRPr="008648BE">
        <w:rPr>
          <w:rFonts w:ascii="Century Gothic" w:hAnsi="Century Gothic" w:cs="Times New Roman"/>
          <w:i/>
          <w:sz w:val="20"/>
          <w:szCs w:val="20"/>
        </w:rPr>
        <w:t>Managing Diversity</w:t>
      </w:r>
      <w:r w:rsidR="000969D4" w:rsidRPr="008648BE">
        <w:rPr>
          <w:rFonts w:ascii="Century Gothic" w:hAnsi="Century Gothic" w:cs="Times New Roman"/>
          <w:sz w:val="20"/>
          <w:szCs w:val="20"/>
        </w:rPr>
        <w:t>, 3</w:t>
      </w:r>
      <w:r w:rsidR="000969D4" w:rsidRPr="008648BE">
        <w:rPr>
          <w:rFonts w:ascii="Century Gothic" w:hAnsi="Century Gothic" w:cs="Times New Roman"/>
          <w:sz w:val="20"/>
          <w:szCs w:val="20"/>
          <w:vertAlign w:val="superscript"/>
        </w:rPr>
        <w:t>rd</w:t>
      </w:r>
      <w:r w:rsidR="000969D4" w:rsidRPr="008648BE">
        <w:rPr>
          <w:rFonts w:ascii="Century Gothic" w:hAnsi="Century Gothic" w:cs="Times New Roman"/>
          <w:sz w:val="20"/>
          <w:szCs w:val="20"/>
        </w:rPr>
        <w:t xml:space="preserve"> Ed. Alexandria, </w:t>
      </w:r>
      <w:proofErr w:type="spellStart"/>
      <w:proofErr w:type="gramStart"/>
      <w:r w:rsidR="000969D4" w:rsidRPr="008648BE">
        <w:rPr>
          <w:rFonts w:ascii="Century Gothic" w:hAnsi="Century Gothic" w:cs="Times New Roman"/>
          <w:sz w:val="20"/>
          <w:szCs w:val="20"/>
        </w:rPr>
        <w:t>Va</w:t>
      </w:r>
      <w:proofErr w:type="spellEnd"/>
      <w:proofErr w:type="gramEnd"/>
      <w:r w:rsidR="000969D4" w:rsidRPr="008648BE">
        <w:rPr>
          <w:rFonts w:ascii="Century Gothic" w:hAnsi="Century Gothic" w:cs="Times New Roman"/>
          <w:sz w:val="20"/>
          <w:szCs w:val="20"/>
        </w:rPr>
        <w:t>: Society for Human Resource Management</w:t>
      </w:r>
      <w:r w:rsidR="009D6E27">
        <w:rPr>
          <w:rFonts w:ascii="Century Gothic" w:hAnsi="Century Gothic" w:cs="Times New Roman"/>
          <w:sz w:val="20"/>
          <w:szCs w:val="20"/>
        </w:rPr>
        <w:t>.</w:t>
      </w:r>
    </w:p>
    <w:p w:rsidR="00B767C3" w:rsidRPr="008648BE" w:rsidRDefault="00B767C3" w:rsidP="00A240D9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proofErr w:type="spellStart"/>
      <w:proofErr w:type="gramStart"/>
      <w:r w:rsidRPr="008648BE">
        <w:rPr>
          <w:rFonts w:ascii="Century Gothic" w:hAnsi="Century Gothic" w:cs="Times New Roman"/>
          <w:sz w:val="20"/>
          <w:szCs w:val="20"/>
        </w:rPr>
        <w:t>Gurin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 xml:space="preserve">, P., 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Dey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E.L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 xml:space="preserve">., Hurtado, S., &amp; 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Gurin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>, G. (2002) Diversity and higher education: Theory and impact on educational outcomes.</w:t>
      </w:r>
      <w:proofErr w:type="gramEnd"/>
      <w:r w:rsidR="0050491D"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i/>
          <w:sz w:val="20"/>
          <w:szCs w:val="20"/>
        </w:rPr>
        <w:t>Harvard Educational Review</w:t>
      </w:r>
      <w:r w:rsidRPr="008648BE">
        <w:rPr>
          <w:rFonts w:ascii="Century Gothic" w:hAnsi="Century Gothic" w:cs="Times New Roman"/>
          <w:sz w:val="20"/>
          <w:szCs w:val="20"/>
        </w:rPr>
        <w:t>, 72(3).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330-366.</w:t>
      </w:r>
      <w:proofErr w:type="gramEnd"/>
    </w:p>
    <w:p w:rsidR="00B67C7E" w:rsidRPr="008648BE" w:rsidRDefault="00B67C7E" w:rsidP="00B67C7E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r w:rsidRPr="008648BE">
        <w:rPr>
          <w:rFonts w:ascii="Century Gothic" w:hAnsi="Century Gothic" w:cs="Times New Roman"/>
          <w:sz w:val="20"/>
          <w:szCs w:val="20"/>
        </w:rPr>
        <w:t>McGee, Ebony (2011-2012)</w:t>
      </w:r>
      <w:r w:rsidRPr="009D6E27">
        <w:rPr>
          <w:rFonts w:ascii="Century Gothic" w:hAnsi="Century Gothic" w:cs="Times New Roman"/>
          <w:sz w:val="20"/>
          <w:szCs w:val="19"/>
        </w:rPr>
        <w:t xml:space="preserve"> </w:t>
      </w:r>
      <w:r w:rsidRPr="009D6E27">
        <w:rPr>
          <w:rFonts w:ascii="Century Gothic" w:hAnsi="Century Gothic" w:cs="Times New Roman"/>
          <w:i/>
          <w:sz w:val="20"/>
          <w:szCs w:val="19"/>
        </w:rPr>
        <w:t>From Stereotype Threat to Stereotype Management and Beyond: Successful Asian, Black and Latinos in Science and Mathematics</w:t>
      </w:r>
      <w:r w:rsidRPr="008648BE">
        <w:rPr>
          <w:rFonts w:ascii="Century Gothic" w:hAnsi="Century Gothic" w:cs="Times New Roman"/>
          <w:sz w:val="20"/>
          <w:szCs w:val="20"/>
        </w:rPr>
        <w:t xml:space="preserve">.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National Science Foundation Postdoctoral Fellowship.</w:t>
      </w:r>
      <w:proofErr w:type="gramEnd"/>
      <w:r w:rsidR="009D6E27">
        <w:rPr>
          <w:rFonts w:ascii="Century Gothic" w:hAnsi="Century Gothic" w:cs="Times New Roman"/>
          <w:sz w:val="20"/>
          <w:szCs w:val="20"/>
        </w:rPr>
        <w:t xml:space="preserve"> </w:t>
      </w:r>
      <w:hyperlink r:id="rId10" w:history="1">
        <w:r w:rsidR="009D6E27" w:rsidRPr="009D6E27">
          <w:rPr>
            <w:rStyle w:val="Hyperlink"/>
            <w:rFonts w:ascii="Century Gothic" w:hAnsi="Century Gothic" w:cs="Times New Roman"/>
            <w:sz w:val="19"/>
            <w:szCs w:val="19"/>
          </w:rPr>
          <w:t>https://my.vanderbilt.edu/ebonymcgee/</w:t>
        </w:r>
      </w:hyperlink>
      <w:r w:rsidR="009D6E27">
        <w:rPr>
          <w:rFonts w:ascii="Century Gothic" w:hAnsi="Century Gothic" w:cs="Times New Roman"/>
          <w:sz w:val="20"/>
          <w:szCs w:val="20"/>
        </w:rPr>
        <w:t xml:space="preserve"> </w:t>
      </w:r>
    </w:p>
    <w:p w:rsidR="00B767C3" w:rsidRPr="008648BE" w:rsidRDefault="00B767C3" w:rsidP="00A240D9">
      <w:pPr>
        <w:spacing w:after="140" w:line="240" w:lineRule="auto"/>
        <w:ind w:left="547" w:hanging="547"/>
        <w:rPr>
          <w:rStyle w:val="Hyperlink"/>
          <w:rFonts w:ascii="Century Gothic" w:hAnsi="Century Gothic" w:cs="Times New Roman"/>
          <w:sz w:val="20"/>
          <w:szCs w:val="20"/>
        </w:rPr>
      </w:pPr>
      <w:proofErr w:type="spellStart"/>
      <w:proofErr w:type="gramStart"/>
      <w:r w:rsidRPr="008648BE">
        <w:rPr>
          <w:rFonts w:ascii="Century Gothic" w:hAnsi="Century Gothic" w:cs="Times New Roman"/>
          <w:sz w:val="20"/>
          <w:szCs w:val="20"/>
        </w:rPr>
        <w:t>Milem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 xml:space="preserve">, 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J.F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 xml:space="preserve">., Chang, 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M.J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>., &amp; Antonia, A.L. (2005).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Making Diversity Work on Campus: A Research-Based Perspective.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Making Excellence Inclusive Series.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Association of American Colleges and Universities.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hyperlink r:id="rId11" w:history="1">
        <w:r w:rsidRPr="009D6E27">
          <w:rPr>
            <w:rStyle w:val="Hyperlink"/>
            <w:rFonts w:ascii="Century Gothic" w:hAnsi="Century Gothic" w:cs="Times New Roman"/>
            <w:sz w:val="19"/>
            <w:szCs w:val="19"/>
          </w:rPr>
          <w:t>http://www.aacu.org/inclusive_excellence/documents/Milem_et_al.pdf</w:t>
        </w:r>
      </w:hyperlink>
    </w:p>
    <w:p w:rsidR="00B767C3" w:rsidRPr="008648BE" w:rsidRDefault="00B767C3" w:rsidP="00A240D9">
      <w:pPr>
        <w:spacing w:after="140" w:line="240" w:lineRule="auto"/>
        <w:ind w:left="547" w:hanging="547"/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</w:pPr>
      <w:r w:rsidRPr="008648BE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Nelson Laird, T. F. (2011). </w:t>
      </w:r>
      <w:proofErr w:type="gramStart"/>
      <w:r w:rsidRPr="008648BE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>Measuring the diversity inclusivity of college courses.</w:t>
      </w:r>
      <w:proofErr w:type="gramEnd"/>
      <w:r w:rsidRPr="008648BE"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  <w:t xml:space="preserve"> Research in Higher Education, 32, 572-588.</w:t>
      </w:r>
    </w:p>
    <w:p w:rsidR="00B767C3" w:rsidRPr="008648BE" w:rsidRDefault="00B767C3" w:rsidP="00442123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proofErr w:type="gramStart"/>
      <w:r w:rsidRPr="008648BE">
        <w:rPr>
          <w:rFonts w:ascii="Century Gothic" w:hAnsi="Century Gothic" w:cs="Times New Roman"/>
          <w:sz w:val="20"/>
          <w:szCs w:val="20"/>
        </w:rPr>
        <w:t xml:space="preserve">Rankin, S., Weber, G., &amp; 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Blumenfeld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>, W. (2010).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State of Higher Education for Lesbian, Gay, Bisexual and Transgender People.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Q Research Institute for Higher Education.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r w:rsidR="00442123" w:rsidRPr="008648BE">
        <w:rPr>
          <w:rFonts w:ascii="Century Gothic" w:hAnsi="Century Gothic" w:cs="Times New Roman"/>
          <w:sz w:val="20"/>
          <w:szCs w:val="20"/>
        </w:rPr>
        <w:t>C</w:t>
      </w:r>
      <w:r w:rsidRPr="008648BE">
        <w:rPr>
          <w:rFonts w:ascii="Century Gothic" w:hAnsi="Century Gothic" w:cs="Times New Roman"/>
          <w:sz w:val="20"/>
          <w:szCs w:val="20"/>
        </w:rPr>
        <w:t xml:space="preserve">harlotte, N.C.: Campus Pride. </w:t>
      </w:r>
      <w:hyperlink r:id="rId12" w:history="1">
        <w:r w:rsidRPr="009D6E27">
          <w:rPr>
            <w:rStyle w:val="Hyperlink"/>
            <w:rFonts w:ascii="Century Gothic" w:hAnsi="Century Gothic" w:cs="Times New Roman"/>
            <w:sz w:val="19"/>
            <w:szCs w:val="19"/>
          </w:rPr>
          <w:t>http://www.campuspride.org</w:t>
        </w:r>
      </w:hyperlink>
    </w:p>
    <w:p w:rsidR="00504A19" w:rsidRPr="008648BE" w:rsidRDefault="00B767C3" w:rsidP="00A240D9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r w:rsidRPr="008648BE">
        <w:rPr>
          <w:rFonts w:ascii="Century Gothic" w:hAnsi="Century Gothic" w:cs="Times New Roman"/>
          <w:sz w:val="20"/>
          <w:szCs w:val="20"/>
        </w:rPr>
        <w:t>Steel</w:t>
      </w:r>
      <w:r w:rsidR="00504A19" w:rsidRPr="008648BE">
        <w:rPr>
          <w:rFonts w:ascii="Century Gothic" w:hAnsi="Century Gothic" w:cs="Times New Roman"/>
          <w:sz w:val="20"/>
          <w:szCs w:val="20"/>
        </w:rPr>
        <w:t>e</w:t>
      </w:r>
      <w:r w:rsidRPr="008648BE">
        <w:rPr>
          <w:rFonts w:ascii="Century Gothic" w:hAnsi="Century Gothic" w:cs="Times New Roman"/>
          <w:sz w:val="20"/>
          <w:szCs w:val="20"/>
        </w:rPr>
        <w:t xml:space="preserve">, C. (2010). </w:t>
      </w:r>
      <w:proofErr w:type="gramStart"/>
      <w:r w:rsidRPr="008648BE">
        <w:rPr>
          <w:rFonts w:ascii="Century Gothic" w:hAnsi="Century Gothic" w:cs="Times New Roman"/>
          <w:i/>
          <w:sz w:val="20"/>
          <w:szCs w:val="20"/>
        </w:rPr>
        <w:t>Whistling Vivaldi</w:t>
      </w:r>
      <w:r w:rsidRPr="008648BE">
        <w:rPr>
          <w:rFonts w:ascii="Century Gothic" w:hAnsi="Century Gothic" w:cs="Times New Roman"/>
          <w:sz w:val="20"/>
          <w:szCs w:val="20"/>
        </w:rPr>
        <w:t>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New York: W.W. Norton and Co.</w:t>
      </w:r>
    </w:p>
    <w:p w:rsidR="001252A1" w:rsidRPr="008648BE" w:rsidRDefault="00B767C3" w:rsidP="00A240D9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r w:rsidRPr="008648BE">
        <w:rPr>
          <w:rFonts w:ascii="Century Gothic" w:hAnsi="Century Gothic" w:cs="Times New Roman"/>
          <w:sz w:val="20"/>
          <w:szCs w:val="20"/>
        </w:rPr>
        <w:t xml:space="preserve">Sue, D. W. (2012). </w:t>
      </w:r>
      <w:r w:rsidRPr="008648BE">
        <w:rPr>
          <w:rFonts w:ascii="Century Gothic" w:hAnsi="Century Gothic" w:cs="Times New Roman"/>
          <w:i/>
          <w:sz w:val="20"/>
          <w:szCs w:val="20"/>
        </w:rPr>
        <w:t>Microaggressions in the Classroom: Manifestation, Dynamics and Impact</w:t>
      </w:r>
      <w:r w:rsidRPr="008648BE">
        <w:rPr>
          <w:rFonts w:ascii="Century Gothic" w:hAnsi="Century Gothic" w:cs="Times New Roman"/>
          <w:sz w:val="20"/>
          <w:szCs w:val="20"/>
        </w:rPr>
        <w:t xml:space="preserve">. </w:t>
      </w:r>
      <w:hyperlink r:id="rId13" w:history="1">
        <w:r w:rsidR="00B40F8A" w:rsidRPr="009D6E27">
          <w:rPr>
            <w:rStyle w:val="Hyperlink"/>
            <w:rFonts w:ascii="Century Gothic" w:hAnsi="Century Gothic" w:cs="Times New Roman"/>
            <w:sz w:val="19"/>
            <w:szCs w:val="19"/>
          </w:rPr>
          <w:t>http://www.youtube.com/watch?v=sW3tFpThHzI</w:t>
        </w:r>
      </w:hyperlink>
    </w:p>
    <w:p w:rsidR="00B767C3" w:rsidRPr="008648BE" w:rsidRDefault="00B767C3" w:rsidP="00A240D9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proofErr w:type="gramStart"/>
      <w:r w:rsidRPr="008648BE">
        <w:rPr>
          <w:rFonts w:ascii="Century Gothic" w:hAnsi="Century Gothic" w:cs="Times New Roman"/>
          <w:sz w:val="20"/>
          <w:szCs w:val="20"/>
        </w:rPr>
        <w:t xml:space="preserve">Portman, J., </w:t>
      </w:r>
      <w:r w:rsidR="00CC7F58" w:rsidRPr="008648BE">
        <w:rPr>
          <w:rFonts w:ascii="Century Gothic" w:hAnsi="Century Gothic" w:cs="Times New Roman"/>
          <w:sz w:val="20"/>
          <w:szCs w:val="20"/>
        </w:rPr>
        <w:t xml:space="preserve">&amp; 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Ogaz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>, J. (2010)</w:t>
      </w:r>
      <w:r w:rsidR="00C24124" w:rsidRPr="008648BE">
        <w:rPr>
          <w:rFonts w:ascii="Century Gothic" w:hAnsi="Century Gothic" w:cs="Times New Roman"/>
          <w:sz w:val="20"/>
          <w:szCs w:val="20"/>
        </w:rPr>
        <w:t>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i/>
          <w:sz w:val="20"/>
          <w:szCs w:val="20"/>
        </w:rPr>
        <w:t>Addressing Microaggressions – A Focus on the Little Things</w:t>
      </w:r>
      <w:r w:rsidRPr="008648BE">
        <w:rPr>
          <w:rFonts w:ascii="Century Gothic" w:hAnsi="Century Gothic" w:cs="Times New Roman"/>
          <w:sz w:val="20"/>
          <w:szCs w:val="20"/>
        </w:rPr>
        <w:t>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Presented at the 11th White Privilege Conference – La Crosse, Wisconsin.</w:t>
      </w:r>
      <w:proofErr w:type="gramEnd"/>
    </w:p>
    <w:p w:rsidR="000969D4" w:rsidRPr="008648BE" w:rsidRDefault="000969D4" w:rsidP="00A240D9">
      <w:pPr>
        <w:spacing w:after="140" w:line="240" w:lineRule="auto"/>
        <w:ind w:left="547" w:hanging="547"/>
        <w:rPr>
          <w:rFonts w:ascii="Century Gothic" w:hAnsi="Century Gothic" w:cs="Times New Roman"/>
          <w:sz w:val="20"/>
          <w:szCs w:val="20"/>
        </w:rPr>
      </w:pPr>
      <w:proofErr w:type="gramStart"/>
      <w:r w:rsidRPr="008648BE">
        <w:rPr>
          <w:rFonts w:ascii="Century Gothic" w:hAnsi="Century Gothic" w:cs="Times New Roman"/>
          <w:sz w:val="20"/>
          <w:szCs w:val="20"/>
        </w:rPr>
        <w:t>Purdie-</w:t>
      </w:r>
      <w:proofErr w:type="spellStart"/>
      <w:r w:rsidRPr="008648BE">
        <w:rPr>
          <w:rFonts w:ascii="Century Gothic" w:hAnsi="Century Gothic" w:cs="Times New Roman"/>
          <w:sz w:val="20"/>
          <w:szCs w:val="20"/>
        </w:rPr>
        <w:t>Vaughns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>, V. (2015).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r w:rsidRPr="008648BE">
        <w:rPr>
          <w:rFonts w:ascii="Century Gothic" w:hAnsi="Century Gothic" w:cs="Times New Roman"/>
          <w:i/>
          <w:sz w:val="20"/>
          <w:szCs w:val="20"/>
        </w:rPr>
        <w:t>Identity Matters: But Not How You Think It Does: How Stereotypes Affect Where We Live, Learn, And Play.</w:t>
      </w:r>
      <w:r w:rsidRPr="008648BE">
        <w:rPr>
          <w:rFonts w:ascii="Century Gothic" w:hAnsi="Century Gothic" w:cs="Times New Roman"/>
          <w:sz w:val="20"/>
          <w:szCs w:val="20"/>
        </w:rPr>
        <w:t xml:space="preserve"> Keynote address presented at the CORED Spring Symposium.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Penn State University.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February 23</w:t>
      </w:r>
      <w:r w:rsidR="00BB06C1">
        <w:rPr>
          <w:rFonts w:ascii="Century Gothic" w:hAnsi="Century Gothic" w:cs="Times New Roman"/>
          <w:sz w:val="20"/>
          <w:szCs w:val="20"/>
        </w:rPr>
        <w:t>, 2015</w:t>
      </w:r>
      <w:r w:rsidRPr="008648BE">
        <w:rPr>
          <w:rFonts w:ascii="Century Gothic" w:hAnsi="Century Gothic" w:cs="Times New Roman"/>
          <w:sz w:val="20"/>
          <w:szCs w:val="20"/>
        </w:rPr>
        <w:t>.</w:t>
      </w:r>
      <w:r w:rsidRPr="008648BE">
        <w:rPr>
          <w:rFonts w:ascii="Century Gothic" w:hAnsi="Century Gothic" w:cs="Times New Roman"/>
          <w:sz w:val="19"/>
          <w:szCs w:val="19"/>
        </w:rPr>
        <w:t xml:space="preserve"> </w:t>
      </w:r>
      <w:hyperlink r:id="rId14" w:history="1">
        <w:r w:rsidRPr="008648BE">
          <w:rPr>
            <w:rStyle w:val="Hyperlink"/>
            <w:rFonts w:ascii="Century Gothic" w:hAnsi="Century Gothic" w:cs="Times New Roman"/>
            <w:sz w:val="19"/>
            <w:szCs w:val="19"/>
          </w:rPr>
          <w:t>http://equity.psu.edu/cored/events</w:t>
        </w:r>
      </w:hyperlink>
    </w:p>
    <w:p w:rsidR="00B767C3" w:rsidRPr="008648BE" w:rsidRDefault="00C24124" w:rsidP="00A240D9">
      <w:pPr>
        <w:spacing w:after="140" w:line="240" w:lineRule="auto"/>
        <w:ind w:left="547" w:hanging="547"/>
        <w:rPr>
          <w:rStyle w:val="Hyperlink"/>
          <w:rFonts w:ascii="Century Gothic" w:hAnsi="Century Gothic" w:cs="Times New Roman"/>
          <w:color w:val="auto"/>
          <w:sz w:val="20"/>
          <w:szCs w:val="20"/>
          <w:u w:val="none"/>
        </w:rPr>
      </w:pPr>
      <w:proofErr w:type="gramStart"/>
      <w:r w:rsidRPr="008648BE">
        <w:rPr>
          <w:rFonts w:ascii="Century Gothic" w:hAnsi="Century Gothic" w:cs="Times New Roman"/>
          <w:sz w:val="20"/>
          <w:szCs w:val="20"/>
        </w:rPr>
        <w:t>Yeager, D.</w:t>
      </w:r>
      <w:r w:rsidR="00955352" w:rsidRPr="008648BE">
        <w:rPr>
          <w:rFonts w:ascii="Century Gothic" w:hAnsi="Century Gothic" w:cs="Times New Roman"/>
          <w:sz w:val="20"/>
          <w:szCs w:val="20"/>
        </w:rPr>
        <w:t xml:space="preserve"> </w:t>
      </w:r>
      <w:r w:rsidRPr="008648BE">
        <w:rPr>
          <w:rFonts w:ascii="Century Gothic" w:hAnsi="Century Gothic" w:cs="Times New Roman"/>
          <w:sz w:val="20"/>
          <w:szCs w:val="20"/>
        </w:rPr>
        <w:t>S. &amp; Walton, G. M. (2011).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Social-psychological interventions in education: They’re not magic. </w:t>
      </w:r>
      <w:proofErr w:type="gramStart"/>
      <w:r w:rsidRPr="008648BE">
        <w:rPr>
          <w:rFonts w:ascii="Century Gothic" w:hAnsi="Century Gothic" w:cs="Times New Roman"/>
          <w:i/>
          <w:sz w:val="20"/>
          <w:szCs w:val="20"/>
        </w:rPr>
        <w:t>Review of Educational Research</w:t>
      </w:r>
      <w:r w:rsidRPr="008648BE">
        <w:rPr>
          <w:rFonts w:ascii="Century Gothic" w:hAnsi="Century Gothic" w:cs="Times New Roman"/>
          <w:sz w:val="20"/>
          <w:szCs w:val="20"/>
        </w:rPr>
        <w:t>, 81</w:t>
      </w:r>
      <w:r w:rsidR="0043394D" w:rsidRPr="008648BE">
        <w:rPr>
          <w:rFonts w:ascii="Century Gothic" w:hAnsi="Century Gothic" w:cs="Times New Roman"/>
          <w:sz w:val="20"/>
          <w:szCs w:val="20"/>
        </w:rPr>
        <w:t>.</w:t>
      </w:r>
      <w:proofErr w:type="gramEnd"/>
      <w:r w:rsidR="00B521DB" w:rsidRPr="008648BE">
        <w:rPr>
          <w:rFonts w:ascii="Century Gothic" w:hAnsi="Century Gothic" w:cs="Times New Roman"/>
          <w:sz w:val="20"/>
          <w:szCs w:val="20"/>
        </w:rPr>
        <w:t xml:space="preserve"> </w:t>
      </w:r>
      <w:hyperlink r:id="rId15" w:history="1">
        <w:r w:rsidR="00E95F69" w:rsidRPr="008648BE">
          <w:rPr>
            <w:rStyle w:val="Hyperlink"/>
            <w:rFonts w:ascii="Century Gothic" w:hAnsi="Century Gothic" w:cs="Times New Roman"/>
            <w:sz w:val="19"/>
            <w:szCs w:val="19"/>
          </w:rPr>
          <w:t>http://rer.sagepub.com/content/81/2/267</w:t>
        </w:r>
      </w:hyperlink>
    </w:p>
    <w:p w:rsidR="0043394D" w:rsidRPr="00A240D9" w:rsidRDefault="0043394D" w:rsidP="00A240D9">
      <w:pPr>
        <w:spacing w:after="140" w:line="240" w:lineRule="auto"/>
        <w:ind w:left="547" w:hanging="547"/>
        <w:rPr>
          <w:rFonts w:ascii="Century Gothic" w:hAnsi="Century Gothic" w:cs="Times New Roman"/>
          <w:sz w:val="19"/>
          <w:szCs w:val="19"/>
        </w:rPr>
      </w:pPr>
      <w:proofErr w:type="spellStart"/>
      <w:r w:rsidRPr="008648BE">
        <w:rPr>
          <w:rFonts w:ascii="Century Gothic" w:hAnsi="Century Gothic" w:cs="Times New Roman"/>
          <w:sz w:val="20"/>
          <w:szCs w:val="20"/>
        </w:rPr>
        <w:t>Zesiger</w:t>
      </w:r>
      <w:proofErr w:type="spellEnd"/>
      <w:r w:rsidRPr="008648BE">
        <w:rPr>
          <w:rFonts w:ascii="Century Gothic" w:hAnsi="Century Gothic" w:cs="Times New Roman"/>
          <w:sz w:val="20"/>
          <w:szCs w:val="20"/>
        </w:rPr>
        <w:t xml:space="preserve">, H. (2013). Racial microaggressions and college student wellbeing: An annotated bibliography for student affairs and health promotion professionals in higher education.  </w:t>
      </w:r>
      <w:proofErr w:type="gramStart"/>
      <w:r w:rsidRPr="008648BE">
        <w:rPr>
          <w:rFonts w:ascii="Century Gothic" w:hAnsi="Century Gothic" w:cs="Times New Roman"/>
          <w:sz w:val="20"/>
          <w:szCs w:val="20"/>
        </w:rPr>
        <w:t>Institute of Public Health, Georgia State University.</w:t>
      </w:r>
      <w:proofErr w:type="gramEnd"/>
      <w:r w:rsidRPr="008648BE">
        <w:rPr>
          <w:rFonts w:ascii="Century Gothic" w:hAnsi="Century Gothic" w:cs="Times New Roman"/>
          <w:sz w:val="20"/>
          <w:szCs w:val="20"/>
        </w:rPr>
        <w:t xml:space="preserve"> </w:t>
      </w:r>
      <w:hyperlink r:id="rId16" w:history="1">
        <w:r w:rsidR="008648BE" w:rsidRPr="00604A21">
          <w:rPr>
            <w:rStyle w:val="Hyperlink"/>
            <w:rFonts w:ascii="Century Gothic" w:hAnsi="Century Gothic" w:cs="Times New Roman"/>
            <w:sz w:val="19"/>
            <w:szCs w:val="19"/>
          </w:rPr>
          <w:t>http://studenthealth.emory.edu/hp/documents/pdfs/Racial%20Microaggressions%20and%20College%20Student%20Wellbeing.pdf</w:t>
        </w:r>
      </w:hyperlink>
      <w:r>
        <w:rPr>
          <w:rFonts w:ascii="Century Gothic" w:hAnsi="Century Gothic" w:cs="Times New Roman"/>
          <w:sz w:val="19"/>
          <w:szCs w:val="19"/>
        </w:rPr>
        <w:t xml:space="preserve"> </w:t>
      </w:r>
    </w:p>
    <w:sectPr w:rsidR="0043394D" w:rsidRPr="00A240D9" w:rsidSect="00A240D9">
      <w:footerReference w:type="default" r:id="rId1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0D" w:rsidRDefault="0086250D" w:rsidP="0086250D">
      <w:pPr>
        <w:spacing w:after="0" w:line="240" w:lineRule="auto"/>
      </w:pPr>
      <w:r>
        <w:separator/>
      </w:r>
    </w:p>
  </w:endnote>
  <w:endnote w:type="continuationSeparator" w:id="0">
    <w:p w:rsidR="0086250D" w:rsidRDefault="0086250D" w:rsidP="0086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DB" w:rsidRPr="00B521DB" w:rsidRDefault="00B521DB" w:rsidP="00F0734F">
    <w:pPr>
      <w:pStyle w:val="NoSpacing"/>
      <w:tabs>
        <w:tab w:val="center" w:pos="5130"/>
        <w:tab w:val="right" w:pos="10170"/>
      </w:tabs>
      <w:jc w:val="center"/>
      <w:rPr>
        <w:rFonts w:ascii="Gill Sans MT" w:hAnsi="Gill Sans MT"/>
        <w:sz w:val="18"/>
      </w:rPr>
    </w:pPr>
    <w:r>
      <w:rPr>
        <w:rFonts w:ascii="Gill Sans MT" w:hAnsi="Gill Sans MT"/>
        <w:sz w:val="18"/>
      </w:rPr>
      <w:tab/>
    </w:r>
    <w:r w:rsidR="0086250D" w:rsidRPr="00B521DB">
      <w:rPr>
        <w:rFonts w:ascii="Gill Sans MT" w:hAnsi="Gill Sans MT"/>
        <w:sz w:val="18"/>
      </w:rPr>
      <w:t>Creating Inclusive Courses</w:t>
    </w:r>
    <w:r>
      <w:rPr>
        <w:rFonts w:ascii="Gill Sans MT" w:hAnsi="Gill Sans MT"/>
        <w:sz w:val="18"/>
      </w:rPr>
      <w:tab/>
      <w:t xml:space="preserve"> </w:t>
    </w:r>
    <w:r w:rsidR="00955352">
      <w:rPr>
        <w:rFonts w:ascii="Gill Sans MT" w:hAnsi="Gill Sans MT"/>
        <w:sz w:val="18"/>
      </w:rPr>
      <w:t xml:space="preserve">May </w:t>
    </w:r>
    <w:r w:rsidR="007D5B51">
      <w:rPr>
        <w:rFonts w:ascii="Gill Sans MT" w:hAnsi="Gill Sans MT"/>
        <w:sz w:val="18"/>
      </w:rPr>
      <w:t>19, 2016</w:t>
    </w:r>
  </w:p>
  <w:p w:rsidR="00B521DB" w:rsidRDefault="0086250D" w:rsidP="008648BE">
    <w:pPr>
      <w:pStyle w:val="NoSpacing"/>
      <w:jc w:val="center"/>
      <w:rPr>
        <w:rFonts w:ascii="Gill Sans MT" w:hAnsi="Gill Sans MT"/>
        <w:sz w:val="18"/>
      </w:rPr>
    </w:pPr>
    <w:r w:rsidRPr="00B521DB">
      <w:rPr>
        <w:rFonts w:ascii="Gill Sans MT" w:hAnsi="Gill Sans MT"/>
        <w:sz w:val="18"/>
      </w:rPr>
      <w:t>Angela Linse</w:t>
    </w:r>
    <w:r w:rsidR="005760E4">
      <w:rPr>
        <w:rFonts w:ascii="Gill Sans MT" w:hAnsi="Gill Sans MT"/>
        <w:sz w:val="18"/>
      </w:rPr>
      <w:t xml:space="preserve"> &amp; </w:t>
    </w:r>
    <w:r w:rsidRPr="00B521DB">
      <w:rPr>
        <w:rFonts w:ascii="Gill Sans MT" w:hAnsi="Gill Sans MT"/>
        <w:sz w:val="18"/>
      </w:rPr>
      <w:t>Suzanne Weinstein</w:t>
    </w:r>
  </w:p>
  <w:p w:rsidR="009846B5" w:rsidRPr="00B521DB" w:rsidRDefault="009846B5" w:rsidP="008648BE">
    <w:pPr>
      <w:pStyle w:val="NoSpacing"/>
      <w:jc w:val="center"/>
      <w:rPr>
        <w:rFonts w:ascii="Gill Sans MT" w:hAnsi="Gill Sans MT"/>
        <w:sz w:val="18"/>
      </w:rPr>
    </w:pPr>
    <w:r>
      <w:rPr>
        <w:rFonts w:ascii="Gill Sans MT" w:hAnsi="Gill Sans MT"/>
        <w:sz w:val="18"/>
      </w:rPr>
      <w:t>Schreyer Institute for Teaching Excellence, Penn State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0D" w:rsidRDefault="0086250D" w:rsidP="0086250D">
      <w:pPr>
        <w:spacing w:after="0" w:line="240" w:lineRule="auto"/>
      </w:pPr>
      <w:r>
        <w:separator/>
      </w:r>
    </w:p>
  </w:footnote>
  <w:footnote w:type="continuationSeparator" w:id="0">
    <w:p w:rsidR="0086250D" w:rsidRDefault="0086250D" w:rsidP="0086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D9F"/>
    <w:multiLevelType w:val="hybridMultilevel"/>
    <w:tmpl w:val="1FD6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37CB6"/>
    <w:multiLevelType w:val="hybridMultilevel"/>
    <w:tmpl w:val="4142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5032A"/>
    <w:multiLevelType w:val="hybridMultilevel"/>
    <w:tmpl w:val="31E0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C3AC8"/>
    <w:multiLevelType w:val="hybridMultilevel"/>
    <w:tmpl w:val="8CCA8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AA2C11"/>
    <w:multiLevelType w:val="hybridMultilevel"/>
    <w:tmpl w:val="70D0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847DE"/>
    <w:multiLevelType w:val="hybridMultilevel"/>
    <w:tmpl w:val="B9FE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909B0"/>
    <w:multiLevelType w:val="hybridMultilevel"/>
    <w:tmpl w:val="B360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41C2A"/>
    <w:multiLevelType w:val="hybridMultilevel"/>
    <w:tmpl w:val="5E48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04444"/>
    <w:multiLevelType w:val="hybridMultilevel"/>
    <w:tmpl w:val="96B6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069DC"/>
    <w:multiLevelType w:val="hybridMultilevel"/>
    <w:tmpl w:val="FFAE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A5499"/>
    <w:multiLevelType w:val="hybridMultilevel"/>
    <w:tmpl w:val="5438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A0877"/>
    <w:multiLevelType w:val="hybridMultilevel"/>
    <w:tmpl w:val="F39C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B2"/>
    <w:rsid w:val="000922AA"/>
    <w:rsid w:val="000969D4"/>
    <w:rsid w:val="000B0383"/>
    <w:rsid w:val="00115B69"/>
    <w:rsid w:val="00120696"/>
    <w:rsid w:val="001252A1"/>
    <w:rsid w:val="00153C54"/>
    <w:rsid w:val="00170442"/>
    <w:rsid w:val="001733DC"/>
    <w:rsid w:val="00174FFB"/>
    <w:rsid w:val="001A29F0"/>
    <w:rsid w:val="001C386C"/>
    <w:rsid w:val="001C6109"/>
    <w:rsid w:val="001D033F"/>
    <w:rsid w:val="001D0E0E"/>
    <w:rsid w:val="001D0FDC"/>
    <w:rsid w:val="001F6D5B"/>
    <w:rsid w:val="001F7F28"/>
    <w:rsid w:val="00215084"/>
    <w:rsid w:val="002776C7"/>
    <w:rsid w:val="002844C6"/>
    <w:rsid w:val="002F0B38"/>
    <w:rsid w:val="002F235E"/>
    <w:rsid w:val="00386B8B"/>
    <w:rsid w:val="003960D4"/>
    <w:rsid w:val="003B0C63"/>
    <w:rsid w:val="003D0581"/>
    <w:rsid w:val="003F2908"/>
    <w:rsid w:val="00425632"/>
    <w:rsid w:val="0043394D"/>
    <w:rsid w:val="0043761F"/>
    <w:rsid w:val="00440421"/>
    <w:rsid w:val="00442123"/>
    <w:rsid w:val="00476057"/>
    <w:rsid w:val="0049162F"/>
    <w:rsid w:val="004B1DBA"/>
    <w:rsid w:val="004B5342"/>
    <w:rsid w:val="004E6D5F"/>
    <w:rsid w:val="004F5990"/>
    <w:rsid w:val="0050491D"/>
    <w:rsid w:val="00504A19"/>
    <w:rsid w:val="005760E4"/>
    <w:rsid w:val="00576E44"/>
    <w:rsid w:val="005834BC"/>
    <w:rsid w:val="00585A93"/>
    <w:rsid w:val="005A5BC8"/>
    <w:rsid w:val="005A5D63"/>
    <w:rsid w:val="005C3C08"/>
    <w:rsid w:val="005E43DB"/>
    <w:rsid w:val="00643BD0"/>
    <w:rsid w:val="0071284B"/>
    <w:rsid w:val="007C57E9"/>
    <w:rsid w:val="007D0FBA"/>
    <w:rsid w:val="007D5B51"/>
    <w:rsid w:val="00811725"/>
    <w:rsid w:val="00823BC3"/>
    <w:rsid w:val="00855775"/>
    <w:rsid w:val="0086250D"/>
    <w:rsid w:val="008629DC"/>
    <w:rsid w:val="008648BE"/>
    <w:rsid w:val="008D16A7"/>
    <w:rsid w:val="008D172D"/>
    <w:rsid w:val="00904E4C"/>
    <w:rsid w:val="00915CFD"/>
    <w:rsid w:val="00927569"/>
    <w:rsid w:val="0093708A"/>
    <w:rsid w:val="009504AC"/>
    <w:rsid w:val="00955352"/>
    <w:rsid w:val="00960877"/>
    <w:rsid w:val="0097211B"/>
    <w:rsid w:val="009762AF"/>
    <w:rsid w:val="009846B5"/>
    <w:rsid w:val="009D02EA"/>
    <w:rsid w:val="009D1A70"/>
    <w:rsid w:val="009D6E27"/>
    <w:rsid w:val="00A240D9"/>
    <w:rsid w:val="00A92B14"/>
    <w:rsid w:val="00AB22B9"/>
    <w:rsid w:val="00AC4CA8"/>
    <w:rsid w:val="00AC5A70"/>
    <w:rsid w:val="00AF1E4C"/>
    <w:rsid w:val="00AF5DD6"/>
    <w:rsid w:val="00B102E9"/>
    <w:rsid w:val="00B11D83"/>
    <w:rsid w:val="00B303B2"/>
    <w:rsid w:val="00B40F8A"/>
    <w:rsid w:val="00B521DB"/>
    <w:rsid w:val="00B54D24"/>
    <w:rsid w:val="00B67C7E"/>
    <w:rsid w:val="00B767C3"/>
    <w:rsid w:val="00B9192C"/>
    <w:rsid w:val="00B96D0C"/>
    <w:rsid w:val="00BB06C1"/>
    <w:rsid w:val="00BB542A"/>
    <w:rsid w:val="00BC31A4"/>
    <w:rsid w:val="00BD13BC"/>
    <w:rsid w:val="00BE674F"/>
    <w:rsid w:val="00C11349"/>
    <w:rsid w:val="00C13C8B"/>
    <w:rsid w:val="00C14B3B"/>
    <w:rsid w:val="00C237E2"/>
    <w:rsid w:val="00C24124"/>
    <w:rsid w:val="00C53CAA"/>
    <w:rsid w:val="00C821C6"/>
    <w:rsid w:val="00C9786A"/>
    <w:rsid w:val="00CC7F58"/>
    <w:rsid w:val="00D056A2"/>
    <w:rsid w:val="00D1104A"/>
    <w:rsid w:val="00D3008B"/>
    <w:rsid w:val="00D31D96"/>
    <w:rsid w:val="00D33B3A"/>
    <w:rsid w:val="00D42B06"/>
    <w:rsid w:val="00D46D14"/>
    <w:rsid w:val="00DC23AF"/>
    <w:rsid w:val="00DD3AEB"/>
    <w:rsid w:val="00E05765"/>
    <w:rsid w:val="00E16ABD"/>
    <w:rsid w:val="00E30513"/>
    <w:rsid w:val="00E95F69"/>
    <w:rsid w:val="00F06F6C"/>
    <w:rsid w:val="00F07131"/>
    <w:rsid w:val="00F0734F"/>
    <w:rsid w:val="00F24BE6"/>
    <w:rsid w:val="00F37465"/>
    <w:rsid w:val="00F53DDF"/>
    <w:rsid w:val="00F55C51"/>
    <w:rsid w:val="00F5680A"/>
    <w:rsid w:val="00F8409D"/>
    <w:rsid w:val="00F94129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6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3B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D42B06"/>
  </w:style>
  <w:style w:type="paragraph" w:styleId="NormalWeb">
    <w:name w:val="Normal (Web)"/>
    <w:basedOn w:val="Normal"/>
    <w:uiPriority w:val="99"/>
    <w:semiHidden/>
    <w:unhideWhenUsed/>
    <w:rsid w:val="001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3C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0D"/>
  </w:style>
  <w:style w:type="paragraph" w:styleId="Footer">
    <w:name w:val="footer"/>
    <w:basedOn w:val="Normal"/>
    <w:link w:val="Foot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0D"/>
  </w:style>
  <w:style w:type="character" w:customStyle="1" w:styleId="Heading3Char">
    <w:name w:val="Heading 3 Char"/>
    <w:basedOn w:val="DefaultParagraphFont"/>
    <w:link w:val="Heading3"/>
    <w:uiPriority w:val="9"/>
    <w:semiHidden/>
    <w:rsid w:val="00504A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504A1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521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77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6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3B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D42B06"/>
  </w:style>
  <w:style w:type="paragraph" w:styleId="NormalWeb">
    <w:name w:val="Normal (Web)"/>
    <w:basedOn w:val="Normal"/>
    <w:uiPriority w:val="99"/>
    <w:semiHidden/>
    <w:unhideWhenUsed/>
    <w:rsid w:val="001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3C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0D"/>
  </w:style>
  <w:style w:type="paragraph" w:styleId="Footer">
    <w:name w:val="footer"/>
    <w:basedOn w:val="Normal"/>
    <w:link w:val="Foot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0D"/>
  </w:style>
  <w:style w:type="character" w:customStyle="1" w:styleId="Heading3Char">
    <w:name w:val="Heading 3 Char"/>
    <w:basedOn w:val="DefaultParagraphFont"/>
    <w:link w:val="Heading3"/>
    <w:uiPriority w:val="9"/>
    <w:semiHidden/>
    <w:rsid w:val="00504A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504A1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521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77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watch?v=sW3tFpThHz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mpuspride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tudenthealth.emory.edu/hp/documents/pdfs/Racial%20Microaggressions%20and%20College%20Student%20Wellbeing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acu.org/inclusive_excellence/documents/Milem_et_al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r.sagepub.com/content/81/2/267" TargetMode="External"/><Relationship Id="rId10" Type="http://schemas.openxmlformats.org/officeDocument/2006/relationships/hyperlink" Target="https://my.vanderbilt.edu/ebonymcgee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she.berkeley.edu/sites/default/files/shared/publications/docs/ROPS.Chatman.Exploring.3.5.08.pdf" TargetMode="External"/><Relationship Id="rId14" Type="http://schemas.openxmlformats.org/officeDocument/2006/relationships/hyperlink" Target="http://equity.psu.edu/cored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16EB-8505-413A-9742-FBD86FC6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Weinstein;&amp; Angela Linse</dc:creator>
  <cp:lastModifiedBy>Angela R. Linse</cp:lastModifiedBy>
  <cp:revision>7</cp:revision>
  <cp:lastPrinted>2016-05-17T23:09:00Z</cp:lastPrinted>
  <dcterms:created xsi:type="dcterms:W3CDTF">2016-05-17T21:40:00Z</dcterms:created>
  <dcterms:modified xsi:type="dcterms:W3CDTF">2016-05-17T23:10:00Z</dcterms:modified>
</cp:coreProperties>
</file>